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BF" w:rsidRDefault="003555BF" w:rsidP="003555BF">
      <w:pPr>
        <w:rPr>
          <w:lang w:val="ro-RO"/>
        </w:rPr>
      </w:pPr>
      <w:r>
        <w:rPr>
          <w:lang w:val="ro-RO"/>
        </w:rPr>
        <w:t>25.09.2019</w:t>
      </w:r>
    </w:p>
    <w:p w:rsidR="003555BF" w:rsidRDefault="003555BF" w:rsidP="003555BF">
      <w:pPr>
        <w:rPr>
          <w:lang w:val="ro-RO"/>
        </w:rPr>
      </w:pPr>
    </w:p>
    <w:p w:rsidR="003555BF" w:rsidRPr="003555BF" w:rsidRDefault="003555BF" w:rsidP="003555BF">
      <w:pPr>
        <w:jc w:val="center"/>
        <w:rPr>
          <w:lang w:val="ro-RO"/>
        </w:rPr>
      </w:pPr>
      <w:r>
        <w:rPr>
          <w:lang w:val="ro-RO"/>
        </w:rPr>
        <w:t>Știre</w:t>
      </w:r>
    </w:p>
    <w:p w:rsidR="003555BF" w:rsidRDefault="003555BF"/>
    <w:tbl>
      <w:tblPr>
        <w:tblW w:w="5000" w:type="pct"/>
        <w:jc w:val="center"/>
        <w:tblCellSpacing w:w="0" w:type="dxa"/>
        <w:tblBorders>
          <w:top w:val="single" w:sz="6" w:space="0" w:color="CCCCFF"/>
          <w:left w:val="single" w:sz="6" w:space="0" w:color="CCCCFF"/>
          <w:bottom w:val="single" w:sz="6" w:space="0" w:color="CCCCFF"/>
          <w:right w:val="single" w:sz="6" w:space="0" w:color="CCCC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3555BF" w:rsidTr="003555BF">
        <w:trPr>
          <w:trHeight w:val="375"/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E5B8"/>
            <w:tcMar>
              <w:top w:w="0" w:type="dxa"/>
              <w:left w:w="570" w:type="dxa"/>
              <w:bottom w:w="0" w:type="dxa"/>
              <w:right w:w="0" w:type="dxa"/>
            </w:tcMar>
            <w:hideMark/>
          </w:tcPr>
          <w:p w:rsidR="003555BF" w:rsidRDefault="003555BF">
            <w:pPr>
              <w:jc w:val="center"/>
              <w:rPr>
                <w:rFonts w:cs="Tahoma"/>
                <w:b/>
              </w:rPr>
            </w:pPr>
            <w:proofErr w:type="spellStart"/>
            <w:r>
              <w:rPr>
                <w:rFonts w:cs="Tahoma"/>
                <w:b/>
              </w:rPr>
              <w:t>Oportunitate</w:t>
            </w:r>
            <w:proofErr w:type="spellEnd"/>
            <w:r>
              <w:rPr>
                <w:rFonts w:cs="Tahoma"/>
                <w:b/>
              </w:rPr>
              <w:t xml:space="preserve"> de </w:t>
            </w:r>
            <w:proofErr w:type="spellStart"/>
            <w:r>
              <w:rPr>
                <w:rFonts w:cs="Tahoma"/>
                <w:b/>
              </w:rPr>
              <w:t>studiu</w:t>
            </w:r>
            <w:proofErr w:type="spellEnd"/>
            <w:r>
              <w:rPr>
                <w:rFonts w:cs="Tahoma"/>
                <w:b/>
              </w:rPr>
              <w:t xml:space="preserve"> gratuit </w:t>
            </w:r>
            <w:proofErr w:type="spellStart"/>
            <w:r>
              <w:rPr>
                <w:rFonts w:cs="Tahoma"/>
                <w:b/>
              </w:rPr>
              <w:t>în</w:t>
            </w:r>
            <w:proofErr w:type="spellEnd"/>
            <w:r>
              <w:rPr>
                <w:rFonts w:cs="Tahoma"/>
                <w:b/>
              </w:rPr>
              <w:t xml:space="preserve"> </w:t>
            </w:r>
            <w:proofErr w:type="spellStart"/>
            <w:r>
              <w:rPr>
                <w:rFonts w:cs="Tahoma"/>
                <w:b/>
              </w:rPr>
              <w:t>Japonia</w:t>
            </w:r>
            <w:proofErr w:type="spellEnd"/>
          </w:p>
          <w:p w:rsidR="003555BF" w:rsidRDefault="003555BF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</w:t>
            </w:r>
          </w:p>
          <w:p w:rsidR="003555BF" w:rsidRDefault="003555BF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color w:val="000000"/>
              </w:rPr>
              <w:t>Young Leaders</w:t>
            </w:r>
            <w:r>
              <w:rPr>
                <w:b/>
                <w:bCs/>
                <w:color w:val="000000"/>
                <w:lang w:val="ro-RO"/>
              </w:rPr>
              <w:t>’</w:t>
            </w:r>
            <w:r>
              <w:rPr>
                <w:b/>
                <w:bCs/>
                <w:color w:val="000000"/>
              </w:rPr>
              <w:t xml:space="preserve"> Program (YLP)</w:t>
            </w:r>
          </w:p>
        </w:tc>
      </w:tr>
      <w:tr w:rsidR="003555BF" w:rsidTr="003555BF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555BF" w:rsidRDefault="003555BF">
            <w:pPr>
              <w:jc w:val="both"/>
            </w:pPr>
          </w:p>
          <w:p w:rsidR="003555BF" w:rsidRDefault="003555BF" w:rsidP="003555BF">
            <w:pPr>
              <w:pStyle w:val="NormalWeb"/>
              <w:spacing w:after="12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Agenţia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Naţională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Funcţionarilor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Publici</w:t>
            </w:r>
            <w:proofErr w:type="spellEnd"/>
            <w:r>
              <w:rPr>
                <w:color w:val="000000"/>
              </w:rPr>
              <w:t xml:space="preserve"> (ANFP) </w:t>
            </w:r>
            <w:proofErr w:type="spellStart"/>
            <w:r>
              <w:rPr>
                <w:color w:val="000000"/>
              </w:rPr>
              <w:t>facilitează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personalului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administrația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oportunitatea</w:t>
            </w:r>
            <w:proofErr w:type="spellEnd"/>
            <w:r>
              <w:rPr>
                <w:color w:val="000000"/>
              </w:rPr>
              <w:t xml:space="preserve"> de a </w:t>
            </w:r>
            <w:proofErr w:type="spellStart"/>
            <w:r>
              <w:rPr>
                <w:color w:val="000000"/>
              </w:rPr>
              <w:t>studia</w:t>
            </w:r>
            <w:proofErr w:type="spellEnd"/>
            <w:r>
              <w:rPr>
                <w:color w:val="000000"/>
              </w:rPr>
              <w:t xml:space="preserve"> gratuit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Japonia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Astfel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acest</w:t>
            </w:r>
            <w:proofErr w:type="spellEnd"/>
            <w:r>
              <w:rPr>
                <w:color w:val="000000"/>
              </w:rPr>
              <w:t xml:space="preserve"> an, </w:t>
            </w:r>
            <w:proofErr w:type="spellStart"/>
            <w:r>
              <w:rPr>
                <w:color w:val="000000"/>
              </w:rPr>
              <w:t>persoanele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interesate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invitate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să-şi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depună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dosarele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vederea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obţinerii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burse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studiu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Japonia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prin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intermediul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programului</w:t>
            </w:r>
            <w:proofErr w:type="spellEnd"/>
            <w:r>
              <w:rPr>
                <w:b/>
                <w:bCs/>
                <w:color w:val="000000"/>
              </w:rPr>
              <w:t xml:space="preserve"> Young Leaders</w:t>
            </w:r>
            <w:r>
              <w:rPr>
                <w:b/>
                <w:bCs/>
                <w:color w:val="000000"/>
                <w:lang w:val="ro-RO"/>
              </w:rPr>
              <w:t>’</w:t>
            </w:r>
            <w:r>
              <w:rPr>
                <w:b/>
                <w:bCs/>
                <w:color w:val="000000"/>
              </w:rPr>
              <w:t xml:space="preserve"> Program (YLP),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derulat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către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Institutul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Naţional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Studii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Politice</w:t>
            </w:r>
            <w:proofErr w:type="spellEnd"/>
            <w:r>
              <w:rPr>
                <w:color w:val="000000"/>
              </w:rPr>
              <w:t xml:space="preserve"> (GRIPS) </w:t>
            </w:r>
            <w:proofErr w:type="spellStart"/>
            <w:r>
              <w:rPr>
                <w:color w:val="000000"/>
              </w:rPr>
              <w:t>din</w:t>
            </w:r>
            <w:proofErr w:type="spellEnd"/>
            <w:r>
              <w:rPr>
                <w:color w:val="000000"/>
              </w:rPr>
              <w:t xml:space="preserve"> Tokyo.</w:t>
            </w:r>
          </w:p>
          <w:p w:rsidR="003555BF" w:rsidRDefault="003555BF" w:rsidP="003555BF">
            <w:pPr>
              <w:pStyle w:val="NormalWeb"/>
              <w:spacing w:after="120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Programul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promovat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în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România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Ambasada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Japoniei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şi</w:t>
            </w:r>
            <w:proofErr w:type="spellEnd"/>
            <w:r>
              <w:rPr>
                <w:b/>
                <w:bCs/>
                <w:color w:val="000000"/>
              </w:rPr>
              <w:t xml:space="preserve"> ANFP, este </w:t>
            </w:r>
            <w:proofErr w:type="spellStart"/>
            <w:r>
              <w:rPr>
                <w:b/>
                <w:bCs/>
                <w:color w:val="000000"/>
              </w:rPr>
              <w:t>finanţat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către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Guvernul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japonez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şi</w:t>
            </w:r>
            <w:proofErr w:type="spellEnd"/>
            <w:r>
              <w:rPr>
                <w:b/>
                <w:bCs/>
                <w:color w:val="000000"/>
              </w:rPr>
              <w:t xml:space="preserve"> se </w:t>
            </w:r>
            <w:proofErr w:type="spellStart"/>
            <w:r>
              <w:rPr>
                <w:b/>
                <w:bCs/>
                <w:color w:val="000000"/>
              </w:rPr>
              <w:t>adresează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tinerilor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func</w:t>
            </w:r>
            <w:proofErr w:type="spellEnd"/>
            <w:r>
              <w:rPr>
                <w:b/>
                <w:bCs/>
                <w:color w:val="000000"/>
                <w:lang w:val="ro-RO"/>
              </w:rPr>
              <w:t>ţ</w:t>
            </w:r>
            <w:proofErr w:type="spellStart"/>
            <w:r>
              <w:rPr>
                <w:b/>
                <w:bCs/>
                <w:color w:val="000000"/>
              </w:rPr>
              <w:t>ionari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publici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şi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oficiali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guvernamentali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cu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experienţă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şi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rezultate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excelente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în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administraţia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publică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  <w:p w:rsidR="003555BF" w:rsidRDefault="003555BF" w:rsidP="003555BF">
            <w:pPr>
              <w:pStyle w:val="NormalWeb"/>
              <w:spacing w:after="120"/>
              <w:jc w:val="both"/>
              <w:rPr>
                <w:b/>
                <w:bCs/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Scopul acestui program este acela </w:t>
            </w:r>
            <w:r>
              <w:rPr>
                <w:b/>
                <w:bCs/>
                <w:color w:val="000000"/>
                <w:lang w:val="it-IT"/>
              </w:rPr>
              <w:t xml:space="preserve">de a pregăti viitori lideri din administraţia publică centrală şi locală şi de a crea o reţea în rândul acestora. </w:t>
            </w:r>
          </w:p>
          <w:p w:rsidR="003555BF" w:rsidRDefault="003555BF">
            <w:pPr>
              <w:pStyle w:val="NormalWeb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Astfel</w:t>
            </w:r>
            <w:proofErr w:type="spellEnd"/>
            <w:r>
              <w:rPr>
                <w:color w:val="000000"/>
              </w:rPr>
              <w:t xml:space="preserve">, YLP </w:t>
            </w:r>
            <w:proofErr w:type="spellStart"/>
            <w:r>
              <w:rPr>
                <w:color w:val="000000"/>
              </w:rPr>
              <w:t>oferă</w:t>
            </w:r>
            <w:proofErr w:type="spellEnd"/>
            <w:r>
              <w:rPr>
                <w:color w:val="000000"/>
              </w:rPr>
              <w:t xml:space="preserve"> 2 </w:t>
            </w:r>
            <w:proofErr w:type="spellStart"/>
            <w:r>
              <w:rPr>
                <w:color w:val="000000"/>
              </w:rPr>
              <w:t>tipuri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programe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studii</w:t>
            </w:r>
            <w:proofErr w:type="spellEnd"/>
            <w:r>
              <w:rPr>
                <w:color w:val="000000"/>
              </w:rPr>
              <w:t>:</w:t>
            </w:r>
          </w:p>
          <w:p w:rsidR="003555BF" w:rsidRDefault="003555BF">
            <w:pPr>
              <w:pStyle w:val="NormalWeb"/>
              <w:jc w:val="both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</w:rPr>
              <w:t>Administraţia</w:t>
            </w:r>
            <w:proofErr w:type="spellEnd"/>
            <w:r>
              <w:rPr>
                <w:b/>
                <w:bCs/>
                <w:color w:val="000000"/>
              </w:rPr>
              <w:t xml:space="preserve"> la </w:t>
            </w:r>
            <w:proofErr w:type="spellStart"/>
            <w:r>
              <w:rPr>
                <w:b/>
                <w:bCs/>
                <w:color w:val="000000"/>
              </w:rPr>
              <w:t>nivel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naţional</w:t>
            </w:r>
            <w:proofErr w:type="spellEnd"/>
            <w:r>
              <w:rPr>
                <w:b/>
                <w:bCs/>
                <w:color w:val="000000"/>
              </w:rPr>
              <w:t xml:space="preserve"> (central)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– </w:t>
            </w:r>
            <w:proofErr w:type="spellStart"/>
            <w:r>
              <w:rPr>
                <w:b/>
                <w:bCs/>
                <w:color w:val="000000"/>
              </w:rPr>
              <w:t>School</w:t>
            </w:r>
            <w:proofErr w:type="spellEnd"/>
            <w:r>
              <w:rPr>
                <w:b/>
                <w:bCs/>
                <w:color w:val="000000"/>
              </w:rPr>
              <w:t xml:space="preserve"> of </w:t>
            </w:r>
            <w:proofErr w:type="spellStart"/>
            <w:r>
              <w:rPr>
                <w:b/>
                <w:bCs/>
                <w:color w:val="000000"/>
              </w:rPr>
              <w:t>Government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  <w:p w:rsidR="003555BF" w:rsidRDefault="003555BF" w:rsidP="003555BF">
            <w:pPr>
              <w:pStyle w:val="NormalWeb"/>
              <w:spacing w:after="120"/>
              <w:jc w:val="both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</w:rPr>
              <w:t>Administraţia</w:t>
            </w:r>
            <w:proofErr w:type="spellEnd"/>
            <w:r>
              <w:rPr>
                <w:b/>
                <w:bCs/>
                <w:color w:val="000000"/>
              </w:rPr>
              <w:t xml:space="preserve"> la </w:t>
            </w:r>
            <w:proofErr w:type="spellStart"/>
            <w:r>
              <w:rPr>
                <w:b/>
                <w:bCs/>
                <w:color w:val="000000"/>
              </w:rPr>
              <w:t>nivel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teritorial</w:t>
            </w:r>
            <w:proofErr w:type="spellEnd"/>
            <w:r>
              <w:rPr>
                <w:b/>
                <w:bCs/>
                <w:color w:val="000000"/>
              </w:rPr>
              <w:t xml:space="preserve"> (local) – </w:t>
            </w:r>
            <w:proofErr w:type="spellStart"/>
            <w:r>
              <w:rPr>
                <w:b/>
                <w:bCs/>
                <w:color w:val="000000"/>
              </w:rPr>
              <w:t>School</w:t>
            </w:r>
            <w:proofErr w:type="spellEnd"/>
            <w:r>
              <w:rPr>
                <w:b/>
                <w:bCs/>
                <w:color w:val="000000"/>
              </w:rPr>
              <w:t xml:space="preserve"> of Local </w:t>
            </w:r>
            <w:proofErr w:type="spellStart"/>
            <w:r>
              <w:rPr>
                <w:b/>
                <w:bCs/>
                <w:color w:val="000000"/>
              </w:rPr>
              <w:t>Governance</w:t>
            </w:r>
            <w:proofErr w:type="spellEnd"/>
            <w:r>
              <w:rPr>
                <w:b/>
                <w:bCs/>
                <w:color w:val="000000"/>
              </w:rPr>
              <w:t xml:space="preserve">. </w:t>
            </w:r>
          </w:p>
          <w:p w:rsidR="003555BF" w:rsidRDefault="003555BF" w:rsidP="003555BF">
            <w:pPr>
              <w:pStyle w:val="NormalWeb"/>
              <w:spacing w:after="12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Programul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cu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durată</w:t>
            </w:r>
            <w:proofErr w:type="spellEnd"/>
            <w:r>
              <w:rPr>
                <w:color w:val="000000"/>
              </w:rPr>
              <w:t xml:space="preserve"> de un an (</w:t>
            </w:r>
            <w:proofErr w:type="spellStart"/>
            <w:r>
              <w:rPr>
                <w:color w:val="000000"/>
              </w:rPr>
              <w:t>octombrie</w:t>
            </w:r>
            <w:proofErr w:type="spellEnd"/>
            <w:r>
              <w:rPr>
                <w:color w:val="000000"/>
              </w:rPr>
              <w:t xml:space="preserve"> 2020 – </w:t>
            </w:r>
            <w:proofErr w:type="spellStart"/>
            <w:r>
              <w:rPr>
                <w:color w:val="000000"/>
              </w:rPr>
              <w:t>septembrie</w:t>
            </w:r>
            <w:proofErr w:type="spellEnd"/>
            <w:r>
              <w:rPr>
                <w:color w:val="000000"/>
              </w:rPr>
              <w:t xml:space="preserve"> 2021), se va </w:t>
            </w:r>
            <w:proofErr w:type="spellStart"/>
            <w:r>
              <w:rPr>
                <w:color w:val="000000"/>
              </w:rPr>
              <w:t>finaliza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obţinerea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diplome</w:t>
            </w:r>
            <w:proofErr w:type="spellEnd"/>
            <w:r>
              <w:rPr>
                <w:color w:val="000000"/>
              </w:rPr>
              <w:t xml:space="preserve"> de Master </w:t>
            </w:r>
            <w:proofErr w:type="spellStart"/>
            <w:r>
              <w:rPr>
                <w:color w:val="000000"/>
              </w:rPr>
              <w:t>în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Administraţia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Publică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Politici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acordată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către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Institutul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Naţional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Studii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Politice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din</w:t>
            </w:r>
            <w:proofErr w:type="spellEnd"/>
            <w:r>
              <w:rPr>
                <w:color w:val="000000"/>
              </w:rPr>
              <w:t xml:space="preserve"> Tokyo. </w:t>
            </w:r>
          </w:p>
          <w:p w:rsidR="003555BF" w:rsidRDefault="003555BF">
            <w:pPr>
              <w:pStyle w:val="NormalWeb"/>
              <w:jc w:val="both"/>
              <w:rPr>
                <w:lang w:val="it-IT"/>
              </w:rPr>
            </w:pPr>
            <w:r>
              <w:rPr>
                <w:color w:val="000000"/>
                <w:lang w:val="it-IT"/>
              </w:rPr>
              <w:t>Condiţiile pe care candidaţii trebuie să le indeplinească pentru a putea aplica la acest program sunt următoarele:</w:t>
            </w:r>
          </w:p>
          <w:p w:rsidR="003555BF" w:rsidRDefault="003555BF" w:rsidP="0022409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Vârsta</w:t>
            </w:r>
            <w:proofErr w:type="spellEnd"/>
            <w:r>
              <w:t xml:space="preserve"> de </w:t>
            </w:r>
            <w:proofErr w:type="spellStart"/>
            <w:r>
              <w:t>până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40 </w:t>
            </w:r>
            <w:proofErr w:type="gramStart"/>
            <w:r>
              <w:t xml:space="preserve">de </w:t>
            </w:r>
            <w:proofErr w:type="spellStart"/>
            <w:r>
              <w:t>ani</w:t>
            </w:r>
            <w:proofErr w:type="spellEnd"/>
            <w:proofErr w:type="gramEnd"/>
            <w:r>
              <w:t xml:space="preserve"> la data de 1 </w:t>
            </w:r>
            <w:proofErr w:type="spellStart"/>
            <w:r>
              <w:t>octombrie</w:t>
            </w:r>
            <w:proofErr w:type="spellEnd"/>
            <w:r>
              <w:t xml:space="preserve"> 2020</w:t>
            </w:r>
          </w:p>
          <w:p w:rsidR="003555BF" w:rsidRDefault="003555BF" w:rsidP="0022409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Experinţă</w:t>
            </w:r>
            <w:proofErr w:type="spellEnd"/>
            <w:r>
              <w:t xml:space="preserve"> de </w:t>
            </w:r>
            <w:proofErr w:type="spellStart"/>
            <w:r>
              <w:t>minim</w:t>
            </w:r>
            <w:proofErr w:type="spellEnd"/>
            <w:r>
              <w:t xml:space="preserve"> 3 </w:t>
            </w:r>
            <w:proofErr w:type="spellStart"/>
            <w:r>
              <w:t>ani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administraţia</w:t>
            </w:r>
            <w:proofErr w:type="spellEnd"/>
            <w:r>
              <w:t xml:space="preserve"> </w:t>
            </w:r>
            <w:proofErr w:type="spellStart"/>
            <w:r>
              <w:t>publică</w:t>
            </w:r>
            <w:proofErr w:type="spellEnd"/>
            <w:r>
              <w:t xml:space="preserve"> (</w:t>
            </w:r>
            <w:proofErr w:type="spellStart"/>
            <w:r>
              <w:t>preferabil</w:t>
            </w:r>
            <w:proofErr w:type="spellEnd"/>
            <w:r>
              <w:t xml:space="preserve"> 5 </w:t>
            </w:r>
            <w:proofErr w:type="spellStart"/>
            <w:r>
              <w:t>ani</w:t>
            </w:r>
            <w:proofErr w:type="spellEnd"/>
            <w:r>
              <w:t>)</w:t>
            </w:r>
          </w:p>
          <w:p w:rsidR="003555BF" w:rsidRDefault="003555BF" w:rsidP="0022409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Studii</w:t>
            </w:r>
            <w:proofErr w:type="spellEnd"/>
            <w:r>
              <w:t xml:space="preserve"> </w:t>
            </w:r>
            <w:proofErr w:type="spellStart"/>
            <w:r>
              <w:t>superioare</w:t>
            </w:r>
            <w:proofErr w:type="spellEnd"/>
            <w:r>
              <w:t xml:space="preserve"> </w:t>
            </w:r>
            <w:proofErr w:type="spellStart"/>
            <w:r>
              <w:t>absolvite</w:t>
            </w:r>
            <w:proofErr w:type="spellEnd"/>
            <w:r>
              <w:t xml:space="preserve"> </w:t>
            </w:r>
            <w:proofErr w:type="spellStart"/>
            <w:r>
              <w:t>cu</w:t>
            </w:r>
            <w:proofErr w:type="spellEnd"/>
            <w:r>
              <w:t xml:space="preserve"> </w:t>
            </w:r>
            <w:proofErr w:type="spellStart"/>
            <w:r>
              <w:t>diplomă</w:t>
            </w:r>
            <w:proofErr w:type="spellEnd"/>
            <w:r>
              <w:t xml:space="preserve"> de </w:t>
            </w:r>
            <w:proofErr w:type="spellStart"/>
            <w:r>
              <w:t>licenţă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performanţe</w:t>
            </w:r>
            <w:proofErr w:type="spellEnd"/>
            <w:r>
              <w:t xml:space="preserve"> </w:t>
            </w:r>
            <w:proofErr w:type="spellStart"/>
            <w:r>
              <w:t>academice</w:t>
            </w:r>
            <w:proofErr w:type="spellEnd"/>
            <w:r>
              <w:t xml:space="preserve"> </w:t>
            </w:r>
            <w:proofErr w:type="spellStart"/>
            <w:r>
              <w:t>deosebite</w:t>
            </w:r>
            <w:proofErr w:type="spellEnd"/>
          </w:p>
          <w:p w:rsidR="003555BF" w:rsidRDefault="003555BF" w:rsidP="003555BF">
            <w:pPr>
              <w:numPr>
                <w:ilvl w:val="0"/>
                <w:numId w:val="1"/>
              </w:numPr>
              <w:spacing w:after="120"/>
              <w:ind w:left="357" w:hanging="357"/>
              <w:jc w:val="both"/>
            </w:pPr>
            <w:r>
              <w:t xml:space="preserve">Certificat care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ateste</w:t>
            </w:r>
            <w:proofErr w:type="spellEnd"/>
            <w:r>
              <w:t xml:space="preserve"> </w:t>
            </w:r>
            <w:proofErr w:type="spellStart"/>
            <w:r>
              <w:t>cunoaşterea</w:t>
            </w:r>
            <w:proofErr w:type="spellEnd"/>
            <w:r>
              <w:t xml:space="preserve"> </w:t>
            </w:r>
            <w:proofErr w:type="spellStart"/>
            <w:r>
              <w:t>limbii</w:t>
            </w:r>
            <w:proofErr w:type="spellEnd"/>
            <w:r>
              <w:t xml:space="preserve"> </w:t>
            </w:r>
            <w:proofErr w:type="spellStart"/>
            <w:r>
              <w:t>engleze</w:t>
            </w:r>
            <w:proofErr w:type="spellEnd"/>
            <w:r>
              <w:t xml:space="preserve">: TOEFL/IELTS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echivalent</w:t>
            </w:r>
            <w:proofErr w:type="spellEnd"/>
            <w:r>
              <w:t>.</w:t>
            </w:r>
          </w:p>
          <w:p w:rsidR="003555BF" w:rsidRDefault="003555BF" w:rsidP="003555BF">
            <w:pPr>
              <w:pStyle w:val="NormalWeb"/>
              <w:spacing w:after="120"/>
              <w:jc w:val="both"/>
              <w:rPr>
                <w:bCs/>
                <w:lang w:val="it-IT"/>
              </w:rPr>
            </w:pPr>
            <w:proofErr w:type="spellStart"/>
            <w:r>
              <w:rPr>
                <w:b/>
                <w:bCs/>
                <w:color w:val="000000"/>
              </w:rPr>
              <w:t>Înscrierea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la</w:t>
            </w:r>
            <w:proofErr w:type="gramEnd"/>
            <w:r>
              <w:rPr>
                <w:b/>
                <w:bCs/>
                <w:color w:val="000000"/>
              </w:rPr>
              <w:t xml:space="preserve"> program se face </w:t>
            </w:r>
            <w:proofErr w:type="spellStart"/>
            <w:r>
              <w:rPr>
                <w:b/>
                <w:bCs/>
                <w:color w:val="000000"/>
              </w:rPr>
              <w:t>pe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baza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unui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dosar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documentele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şi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formularele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necesare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înscrierii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putând</w:t>
            </w:r>
            <w:proofErr w:type="spellEnd"/>
            <w:r>
              <w:rPr>
                <w:b/>
                <w:bCs/>
                <w:color w:val="000000"/>
              </w:rPr>
              <w:t xml:space="preserve"> fi </w:t>
            </w:r>
            <w:proofErr w:type="spellStart"/>
            <w:r>
              <w:rPr>
                <w:b/>
                <w:bCs/>
                <w:color w:val="000000"/>
              </w:rPr>
              <w:t>descărcate</w:t>
            </w:r>
            <w:proofErr w:type="spellEnd"/>
            <w:r>
              <w:rPr>
                <w:b/>
                <w:bCs/>
                <w:color w:val="000000"/>
              </w:rPr>
              <w:t xml:space="preserve"> de la </w:t>
            </w:r>
            <w:proofErr w:type="spellStart"/>
            <w:r>
              <w:rPr>
                <w:b/>
                <w:bCs/>
                <w:color w:val="000000"/>
              </w:rPr>
              <w:t>link-urile</w:t>
            </w:r>
            <w:proofErr w:type="spellEnd"/>
            <w:r>
              <w:rPr>
                <w:b/>
                <w:bCs/>
                <w:color w:val="000000"/>
              </w:rPr>
              <w:t xml:space="preserve"> de mai </w:t>
            </w:r>
            <w:proofErr w:type="spellStart"/>
            <w:r>
              <w:rPr>
                <w:b/>
                <w:bCs/>
                <w:color w:val="000000"/>
              </w:rPr>
              <w:t>jos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Cs/>
                <w:color w:val="0000FF"/>
              </w:rPr>
              <w:t xml:space="preserve"> </w:t>
            </w:r>
            <w:r>
              <w:rPr>
                <w:bCs/>
                <w:lang w:val="it-IT"/>
              </w:rPr>
              <w:t xml:space="preserve">Dosarele complete se depun la sediul ANFP, până la data de </w:t>
            </w:r>
            <w:r>
              <w:rPr>
                <w:b/>
                <w:bCs/>
                <w:u w:val="single"/>
                <w:lang w:val="it-IT"/>
              </w:rPr>
              <w:t>25 octombrie 2019</w:t>
            </w:r>
            <w:r>
              <w:rPr>
                <w:bCs/>
                <w:lang w:val="it-IT"/>
              </w:rPr>
              <w:t xml:space="preserve"> .</w:t>
            </w:r>
          </w:p>
          <w:p w:rsidR="003555BF" w:rsidRDefault="003555BF" w:rsidP="003555BF">
            <w:pPr>
              <w:pStyle w:val="NormalWeb"/>
              <w:spacing w:after="120"/>
              <w:jc w:val="both"/>
              <w:rPr>
                <w:color w:val="000000"/>
                <w:lang w:val="ro-RO"/>
              </w:rPr>
            </w:pPr>
            <w:r>
              <w:rPr>
                <w:bCs/>
                <w:lang w:val="it-IT"/>
              </w:rPr>
              <w:t xml:space="preserve">Pentru </w:t>
            </w:r>
            <w:r>
              <w:rPr>
                <w:bCs/>
                <w:color w:val="000000"/>
                <w:lang w:val="it-IT"/>
              </w:rPr>
              <w:t>informaţii suplimentare persoana de contact este dna</w:t>
            </w:r>
            <w:r>
              <w:rPr>
                <w:color w:val="1A1A1A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1A1A1A"/>
                <w:shd w:val="clear" w:color="auto" w:fill="FFFFFF"/>
              </w:rPr>
              <w:t>Bianka</w:t>
            </w:r>
            <w:proofErr w:type="spellEnd"/>
            <w:r>
              <w:rPr>
                <w:color w:val="1A1A1A"/>
                <w:shd w:val="clear" w:color="auto" w:fill="FFFFFF"/>
              </w:rPr>
              <w:t xml:space="preserve"> Gagea – </w:t>
            </w:r>
            <w:proofErr w:type="spellStart"/>
            <w:r>
              <w:rPr>
                <w:color w:val="1A1A1A"/>
                <w:shd w:val="clear" w:color="auto" w:fill="FFFFFF"/>
              </w:rPr>
              <w:t>Diacencu</w:t>
            </w:r>
            <w:proofErr w:type="spellEnd"/>
            <w:r>
              <w:rPr>
                <w:color w:val="1A1A1A"/>
                <w:shd w:val="clear" w:color="auto" w:fill="FFFFFF"/>
              </w:rPr>
              <w:t>,                                    tel. 0374.112.723, e-mail</w:t>
            </w:r>
            <w:r>
              <w:rPr>
                <w:color w:val="1A1A1A"/>
                <w:shd w:val="clear" w:color="auto" w:fill="FFFFFF"/>
                <w:lang w:val="ro-RO"/>
              </w:rPr>
              <w:t>:</w:t>
            </w:r>
            <w:r>
              <w:rPr>
                <w:color w:val="1A1A1A"/>
                <w:shd w:val="clear" w:color="auto" w:fill="FFFFFF"/>
              </w:rPr>
              <w:t xml:space="preserve"> </w:t>
            </w:r>
            <w:hyperlink r:id="rId9" w:history="1">
              <w:r>
                <w:rPr>
                  <w:rStyle w:val="Hyperlink"/>
                  <w:shd w:val="clear" w:color="auto" w:fill="FFFFFF"/>
                </w:rPr>
                <w:t>bianka.gagea@anfp.gov.ro</w:t>
              </w:r>
            </w:hyperlink>
            <w:r>
              <w:rPr>
                <w:color w:val="1A1A1A"/>
                <w:u w:val="single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.</w:t>
            </w:r>
            <w:r>
              <w:rPr>
                <w:rStyle w:val="apple-converted-space"/>
                <w:color w:val="1A1A1A"/>
                <w:shd w:val="clear" w:color="auto" w:fill="FFFFFF"/>
              </w:rPr>
              <w:t> </w:t>
            </w:r>
          </w:p>
          <w:p w:rsidR="003555BF" w:rsidRDefault="003555BF">
            <w:pPr>
              <w:pStyle w:val="NormalWeb"/>
              <w:jc w:val="both"/>
              <w:rPr>
                <w:bCs/>
                <w:color w:val="000000"/>
                <w:lang w:val="it-IT"/>
              </w:rPr>
            </w:pPr>
            <w:r>
              <w:rPr>
                <w:bCs/>
                <w:color w:val="000000"/>
                <w:lang w:val="it-IT"/>
              </w:rPr>
              <w:t>Detalii privind programul YLP sunt disponibile acces</w:t>
            </w:r>
            <w:r>
              <w:rPr>
                <w:bCs/>
                <w:color w:val="000000"/>
                <w:lang w:val="ro-RO"/>
              </w:rPr>
              <w:t>â</w:t>
            </w:r>
            <w:r>
              <w:rPr>
                <w:bCs/>
                <w:color w:val="000000"/>
                <w:lang w:val="it-IT"/>
              </w:rPr>
              <w:t xml:space="preserve">nd şi website-ul: </w:t>
            </w:r>
            <w:hyperlink r:id="rId10" w:history="1">
              <w:r>
                <w:rPr>
                  <w:rStyle w:val="Hyperlink"/>
                  <w:bCs/>
                  <w:lang w:val="it-IT"/>
                </w:rPr>
                <w:t>www.grips.ac.jp</w:t>
              </w:r>
            </w:hyperlink>
            <w:r>
              <w:rPr>
                <w:rStyle w:val="Hyperlink"/>
                <w:bCs/>
                <w:lang w:val="it-IT"/>
              </w:rPr>
              <w:t>/en/</w:t>
            </w:r>
            <w:r>
              <w:rPr>
                <w:bCs/>
                <w:color w:val="000000"/>
                <w:lang w:val="it-IT"/>
              </w:rPr>
              <w:t>.</w:t>
            </w:r>
          </w:p>
          <w:p w:rsidR="003555BF" w:rsidRDefault="00B00AD8">
            <w:pPr>
              <w:jc w:val="both"/>
              <w:rPr>
                <w:lang w:val="ro-RO"/>
              </w:rPr>
            </w:pPr>
            <w:hyperlink r:id="rId11" w:history="1">
              <w:r w:rsidR="003555BF">
                <w:rPr>
                  <w:rStyle w:val="Hyperlink"/>
                  <w:lang w:val="ro-RO"/>
                </w:rPr>
                <w:t>Application form (SoG)</w:t>
              </w:r>
            </w:hyperlink>
          </w:p>
          <w:p w:rsidR="003555BF" w:rsidRDefault="00B00AD8">
            <w:pPr>
              <w:jc w:val="both"/>
              <w:rPr>
                <w:lang w:val="ro-RO"/>
              </w:rPr>
            </w:pPr>
            <w:hyperlink r:id="rId12" w:history="1">
              <w:r w:rsidR="003555BF">
                <w:rPr>
                  <w:rStyle w:val="Hyperlink"/>
                  <w:lang w:val="ro-RO"/>
                </w:rPr>
                <w:t>Application form (SoLG)</w:t>
              </w:r>
            </w:hyperlink>
          </w:p>
          <w:p w:rsidR="003555BF" w:rsidRDefault="00B00AD8">
            <w:pPr>
              <w:jc w:val="both"/>
              <w:rPr>
                <w:lang w:val="ro-RO"/>
              </w:rPr>
            </w:pPr>
            <w:hyperlink r:id="rId13" w:history="1">
              <w:r w:rsidR="003555BF">
                <w:rPr>
                  <w:rStyle w:val="Hyperlink"/>
                  <w:lang w:val="ro-RO"/>
                </w:rPr>
                <w:t>Application Guidelines (SoG)</w:t>
              </w:r>
            </w:hyperlink>
          </w:p>
          <w:p w:rsidR="003555BF" w:rsidRDefault="00B00AD8">
            <w:pPr>
              <w:jc w:val="both"/>
              <w:rPr>
                <w:lang w:val="ro-RO"/>
              </w:rPr>
            </w:pPr>
            <w:hyperlink r:id="rId14" w:history="1">
              <w:r w:rsidR="003555BF">
                <w:rPr>
                  <w:rStyle w:val="Hyperlink"/>
                  <w:lang w:val="ro-RO"/>
                </w:rPr>
                <w:t>Application Guidelines (SoLG)</w:t>
              </w:r>
            </w:hyperlink>
          </w:p>
          <w:p w:rsidR="003555BF" w:rsidRDefault="00B00AD8">
            <w:pPr>
              <w:jc w:val="both"/>
              <w:rPr>
                <w:lang w:val="ro-RO"/>
              </w:rPr>
            </w:pPr>
            <w:hyperlink r:id="rId15" w:history="1">
              <w:r w:rsidR="003555BF">
                <w:rPr>
                  <w:rStyle w:val="Hyperlink"/>
                  <w:lang w:val="ro-RO"/>
                </w:rPr>
                <w:t>Certificate of Health</w:t>
              </w:r>
            </w:hyperlink>
          </w:p>
          <w:p w:rsidR="003555BF" w:rsidRDefault="00B00AD8">
            <w:pPr>
              <w:jc w:val="both"/>
              <w:rPr>
                <w:lang w:val="ro-RO"/>
              </w:rPr>
            </w:pPr>
            <w:hyperlink r:id="rId16" w:history="1">
              <w:r w:rsidR="003555BF">
                <w:rPr>
                  <w:rStyle w:val="Hyperlink"/>
                  <w:lang w:val="ro-RO"/>
                </w:rPr>
                <w:t>Essay Questions</w:t>
              </w:r>
            </w:hyperlink>
          </w:p>
          <w:p w:rsidR="003555BF" w:rsidRPr="00374E6D" w:rsidRDefault="00374E6D">
            <w:pPr>
              <w:shd w:val="clear" w:color="auto" w:fill="FFFFFF"/>
              <w:jc w:val="both"/>
              <w:rPr>
                <w:rFonts w:eastAsia="Calibri"/>
                <w:bCs/>
                <w:color w:val="1A1A1A"/>
                <w:lang w:val="ro-RO" w:eastAsia="en-US"/>
              </w:rPr>
            </w:pPr>
            <w:hyperlink r:id="rId17" w:history="1">
              <w:r w:rsidRPr="00374E6D">
                <w:rPr>
                  <w:rStyle w:val="Hyperlink"/>
                  <w:rFonts w:eastAsia="Calibri"/>
                  <w:bCs/>
                  <w:lang w:val="ro-RO" w:eastAsia="en-US"/>
                </w:rPr>
                <w:t>Recommendation Form</w:t>
              </w:r>
            </w:hyperlink>
            <w:bookmarkStart w:id="0" w:name="_GoBack"/>
            <w:bookmarkEnd w:id="0"/>
          </w:p>
          <w:p w:rsidR="003555BF" w:rsidRDefault="003555BF">
            <w:pPr>
              <w:shd w:val="clear" w:color="auto" w:fill="FFFFFF"/>
              <w:jc w:val="both"/>
              <w:rPr>
                <w:rFonts w:ascii="Calibri" w:eastAsia="Calibri" w:hAnsi="Calibri" w:cs="Helvetica"/>
                <w:bCs/>
                <w:color w:val="1A1A1A"/>
                <w:sz w:val="22"/>
                <w:szCs w:val="22"/>
                <w:lang w:val="ro-RO" w:eastAsia="en-US"/>
              </w:rPr>
            </w:pPr>
            <w:r>
              <w:rPr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4C4EB750" wp14:editId="02DB5DBF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135255</wp:posOffset>
                  </wp:positionV>
                  <wp:extent cx="3219450" cy="571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55BF" w:rsidRDefault="003555BF">
            <w:pPr>
              <w:shd w:val="clear" w:color="auto" w:fill="FFFFFF"/>
              <w:jc w:val="both"/>
              <w:rPr>
                <w:rFonts w:ascii="Calibri" w:eastAsia="Calibri" w:hAnsi="Calibri"/>
                <w:b/>
                <w:i/>
                <w:sz w:val="22"/>
                <w:szCs w:val="22"/>
                <w:lang w:val="ro-RO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ro-RO" w:eastAsia="en-US"/>
              </w:rPr>
              <w:t xml:space="preserve"> </w:t>
            </w:r>
            <w:r>
              <w:rPr>
                <w:rFonts w:ascii="Calibri" w:eastAsia="Calibri" w:hAnsi="Calibri"/>
                <w:b/>
                <w:i/>
                <w:sz w:val="22"/>
                <w:szCs w:val="22"/>
                <w:lang w:val="ro-RO" w:eastAsia="en-US"/>
              </w:rPr>
              <w:t>Direcţia Comunicare şi Relaţii Internaţionale</w:t>
            </w:r>
          </w:p>
          <w:p w:rsidR="003555BF" w:rsidRDefault="003555BF">
            <w:pPr>
              <w:shd w:val="clear" w:color="auto" w:fill="FFFFFF"/>
              <w:jc w:val="both"/>
              <w:rPr>
                <w:rFonts w:ascii="Calibri" w:eastAsia="Calibri" w:hAnsi="Calibri"/>
                <w:b/>
                <w:i/>
                <w:sz w:val="22"/>
                <w:szCs w:val="22"/>
                <w:lang w:val="ro-RO" w:eastAsia="en-US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  <w:lang w:val="ro-RO" w:eastAsia="en-US"/>
              </w:rPr>
              <w:t xml:space="preserve"> </w:t>
            </w:r>
            <w:hyperlink r:id="rId19" w:history="1">
              <w:r>
                <w:rPr>
                  <w:rStyle w:val="Hyperlink"/>
                  <w:rFonts w:ascii="Calibri" w:eastAsia="Calibri" w:hAnsi="Calibri"/>
                  <w:b/>
                  <w:i/>
                  <w:sz w:val="22"/>
                  <w:szCs w:val="22"/>
                  <w:lang w:val="ro-RO" w:eastAsia="en-US"/>
                </w:rPr>
                <w:t>comunicare@anfp.gov.ro</w:t>
              </w:r>
            </w:hyperlink>
            <w:r>
              <w:rPr>
                <w:rFonts w:ascii="Calibri" w:eastAsia="Calibri" w:hAnsi="Calibri"/>
                <w:b/>
                <w:i/>
                <w:sz w:val="22"/>
                <w:szCs w:val="22"/>
                <w:lang w:val="ro-RO" w:eastAsia="en-US"/>
              </w:rPr>
              <w:t xml:space="preserve"> </w:t>
            </w:r>
          </w:p>
          <w:p w:rsidR="003555BF" w:rsidRDefault="003555BF">
            <w:pPr>
              <w:jc w:val="both"/>
            </w:pPr>
          </w:p>
        </w:tc>
      </w:tr>
    </w:tbl>
    <w:p w:rsidR="00B5633B" w:rsidRDefault="00B5633B" w:rsidP="0062485D"/>
    <w:sectPr w:rsidR="00B5633B" w:rsidSect="0062485D">
      <w:head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AD8" w:rsidRDefault="00B00AD8" w:rsidP="001F1EB0">
      <w:r>
        <w:separator/>
      </w:r>
    </w:p>
  </w:endnote>
  <w:endnote w:type="continuationSeparator" w:id="0">
    <w:p w:rsidR="00B00AD8" w:rsidRDefault="00B00AD8" w:rsidP="001F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0A134E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,  0374</w:t>
    </w:r>
    <w:proofErr w:type="gram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Vodă,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AD8" w:rsidRDefault="00B00AD8" w:rsidP="001F1EB0">
      <w:r>
        <w:separator/>
      </w:r>
    </w:p>
  </w:footnote>
  <w:footnote w:type="continuationSeparator" w:id="0">
    <w:p w:rsidR="00B00AD8" w:rsidRDefault="00B00AD8" w:rsidP="001F1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B00AD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FA8" w:rsidRDefault="00F51FA8">
    <w:pPr>
      <w:pStyle w:val="Header"/>
      <w:rPr>
        <w:noProof/>
      </w:rPr>
    </w:pPr>
  </w:p>
  <w:p w:rsidR="00F57743" w:rsidRDefault="00F57743">
    <w:pPr>
      <w:pStyle w:val="Header"/>
      <w:rPr>
        <w:noProof/>
      </w:rPr>
    </w:pPr>
  </w:p>
  <w:p w:rsidR="005D7137" w:rsidRDefault="00F57743" w:rsidP="00CB69AC">
    <w:pPr>
      <w:pStyle w:val="Header"/>
      <w:ind w:left="-709" w:hanging="284"/>
    </w:pPr>
    <w:r>
      <w:rPr>
        <w:noProof/>
        <w:lang w:val="ro-RO"/>
      </w:rPr>
      <w:drawing>
        <wp:inline distT="0" distB="0" distL="0" distR="0" wp14:anchorId="2AE9127C" wp14:editId="4A76E029">
          <wp:extent cx="7070651" cy="8080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147" cy="81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44526"/>
    <w:multiLevelType w:val="hybridMultilevel"/>
    <w:tmpl w:val="1C9E1F36"/>
    <w:lvl w:ilvl="0" w:tplc="A64C53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6C"/>
    <w:rsid w:val="00076119"/>
    <w:rsid w:val="00097E88"/>
    <w:rsid w:val="000A134E"/>
    <w:rsid w:val="00100057"/>
    <w:rsid w:val="00121085"/>
    <w:rsid w:val="00127541"/>
    <w:rsid w:val="00147D2E"/>
    <w:rsid w:val="001512B3"/>
    <w:rsid w:val="001B0BA7"/>
    <w:rsid w:val="001B6478"/>
    <w:rsid w:val="001F1EB0"/>
    <w:rsid w:val="00246032"/>
    <w:rsid w:val="00290C8B"/>
    <w:rsid w:val="002F40DF"/>
    <w:rsid w:val="00327B8C"/>
    <w:rsid w:val="003555BF"/>
    <w:rsid w:val="0035715D"/>
    <w:rsid w:val="00360998"/>
    <w:rsid w:val="00374E6D"/>
    <w:rsid w:val="003F0955"/>
    <w:rsid w:val="00454B6C"/>
    <w:rsid w:val="004A35C2"/>
    <w:rsid w:val="005D7137"/>
    <w:rsid w:val="0062485D"/>
    <w:rsid w:val="006512FB"/>
    <w:rsid w:val="007575F6"/>
    <w:rsid w:val="007A2120"/>
    <w:rsid w:val="007E611A"/>
    <w:rsid w:val="00811C95"/>
    <w:rsid w:val="00896E93"/>
    <w:rsid w:val="008D30DC"/>
    <w:rsid w:val="00915A31"/>
    <w:rsid w:val="00924F50"/>
    <w:rsid w:val="00A650E0"/>
    <w:rsid w:val="00A8060F"/>
    <w:rsid w:val="00A91525"/>
    <w:rsid w:val="00AE142C"/>
    <w:rsid w:val="00B00AD8"/>
    <w:rsid w:val="00B211C6"/>
    <w:rsid w:val="00B5633B"/>
    <w:rsid w:val="00B75237"/>
    <w:rsid w:val="00C43841"/>
    <w:rsid w:val="00C43FB8"/>
    <w:rsid w:val="00C64404"/>
    <w:rsid w:val="00CB69AC"/>
    <w:rsid w:val="00CD7882"/>
    <w:rsid w:val="00CE1AE1"/>
    <w:rsid w:val="00D020CF"/>
    <w:rsid w:val="00D142F7"/>
    <w:rsid w:val="00D77E53"/>
    <w:rsid w:val="00DE5690"/>
    <w:rsid w:val="00E03F7C"/>
    <w:rsid w:val="00E3146D"/>
    <w:rsid w:val="00E70C2D"/>
    <w:rsid w:val="00EA59C1"/>
    <w:rsid w:val="00EE7A7F"/>
    <w:rsid w:val="00EF1E3D"/>
    <w:rsid w:val="00F2086D"/>
    <w:rsid w:val="00F51FA8"/>
    <w:rsid w:val="00F57743"/>
    <w:rsid w:val="00F92413"/>
    <w:rsid w:val="00FB1C1E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5BF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555BF"/>
    <w:rPr>
      <w:color w:val="0000FF" w:themeColor="hyperlink"/>
      <w:u w:val="single"/>
    </w:rPr>
  </w:style>
  <w:style w:type="paragraph" w:styleId="NormalWeb">
    <w:name w:val="Normal (Web)"/>
    <w:basedOn w:val="Normal"/>
    <w:semiHidden/>
    <w:unhideWhenUsed/>
    <w:rsid w:val="003555BF"/>
  </w:style>
  <w:style w:type="character" w:customStyle="1" w:styleId="apple-converted-space">
    <w:name w:val="apple-converted-space"/>
    <w:basedOn w:val="DefaultParagraphFont"/>
    <w:rsid w:val="00355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5BF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555BF"/>
    <w:rPr>
      <w:color w:val="0000FF" w:themeColor="hyperlink"/>
      <w:u w:val="single"/>
    </w:rPr>
  </w:style>
  <w:style w:type="paragraph" w:styleId="NormalWeb">
    <w:name w:val="Normal (Web)"/>
    <w:basedOn w:val="Normal"/>
    <w:semiHidden/>
    <w:unhideWhenUsed/>
    <w:rsid w:val="003555BF"/>
  </w:style>
  <w:style w:type="character" w:customStyle="1" w:styleId="apple-converted-space">
    <w:name w:val="apple-converted-space"/>
    <w:basedOn w:val="DefaultParagraphFont"/>
    <w:rsid w:val="0035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fp.gov.ro/R/Doc/2019/YLP%202019/Application%20Guidelines&#65288;School%20of%20Government&#65289;.pdf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anfp.gov.ro/R/Doc/2019/YLP%202019/Application%20Form%20(SoLG).pdf" TargetMode="External"/><Relationship Id="rId17" Type="http://schemas.openxmlformats.org/officeDocument/2006/relationships/hyperlink" Target="http://www.anfp.gov.ro/R/Doc/2019/YLP%202019/Recommendation%20Form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fp.gov.ro/R/Doc/2019/YLP%202019/Essay%20Questions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nfp.gov.ro/R/Doc/2019/YLP%202019/Application%20Form%20(SoG)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nfp.gov.ro/R/Doc/2019/YLP%202019/Certificate%20of%20Health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grips.ac.jp/" TargetMode="External"/><Relationship Id="rId19" Type="http://schemas.openxmlformats.org/officeDocument/2006/relationships/hyperlink" Target="mailto:comunicare@anfp.gov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anka.gagea@anfp.gov.ro" TargetMode="External"/><Relationship Id="rId14" Type="http://schemas.openxmlformats.org/officeDocument/2006/relationships/hyperlink" Target="http://www.anfp.gov.ro/R/Doc/2019/YLP%202019/Application%20Guidelines&#65288;School%20of%20Local%20Governance&#65289;.pdf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7450-C85F-4F41-B8AB-C052AE09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483</Words>
  <Characters>2802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Vodopeanu</dc:creator>
  <cp:keywords/>
  <dc:description/>
  <cp:lastModifiedBy>Ioan Vodopeanu</cp:lastModifiedBy>
  <cp:revision>7</cp:revision>
  <cp:lastPrinted>2018-02-01T09:43:00Z</cp:lastPrinted>
  <dcterms:created xsi:type="dcterms:W3CDTF">2019-09-25T13:24:00Z</dcterms:created>
  <dcterms:modified xsi:type="dcterms:W3CDTF">2019-09-26T07:24:00Z</dcterms:modified>
</cp:coreProperties>
</file>